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BE984" w14:textId="07B0F826"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r w:rsidR="004A026B">
        <w:t>2</w:t>
      </w:r>
      <w:r w:rsidR="001C53E5">
        <w:t>.</w:t>
      </w:r>
      <w:r w:rsidR="00197A0C">
        <w:t>0</w:t>
      </w:r>
      <w:r w:rsidR="00197A0C" w:rsidRPr="00235394">
        <w:t xml:space="preserve"> </w:t>
      </w:r>
      <w:r w:rsidRPr="00235394">
        <w:rPr>
          <w:sz w:val="32"/>
        </w:rPr>
        <w:t>(</w:t>
      </w:r>
      <w:r w:rsidR="001C53E5">
        <w:rPr>
          <w:sz w:val="32"/>
        </w:rPr>
        <w:t>2019</w:t>
      </w:r>
      <w:r w:rsidRPr="00235394">
        <w:rPr>
          <w:sz w:val="32"/>
        </w:rPr>
        <w:t>-</w:t>
      </w:r>
      <w:r w:rsidR="004A026B">
        <w:rPr>
          <w:sz w:val="32"/>
        </w:rPr>
        <w:t>10</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 xml:space="preserve">NB-IoT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3" w:name="_Toc20741328"/>
      <w:r w:rsidRPr="00235394">
        <w:lastRenderedPageBreak/>
        <w:t>Foreword</w:t>
      </w:r>
      <w:bookmarkEnd w:id="3"/>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4" w:name="_Toc20741329"/>
      <w:r w:rsidRPr="00235394">
        <w:lastRenderedPageBreak/>
        <w:t>1</w:t>
      </w:r>
      <w:r w:rsidRPr="00235394">
        <w:tab/>
        <w:t>Scope</w:t>
      </w:r>
      <w:bookmarkEnd w:id="4"/>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NB-IoT</w:t>
      </w:r>
      <w:r w:rsidR="00EF7683" w:rsidRPr="00AA5DED">
        <w:t>, c</w:t>
      </w:r>
      <w:r w:rsidR="00B759B5">
        <w:t>overing the</w:t>
      </w:r>
      <w:r w:rsidR="00206B6E">
        <w:t xml:space="preserve"> study on</w:t>
      </w:r>
      <w:r w:rsidR="00206B6E">
        <w:rPr>
          <w:rFonts w:hint="eastAsia"/>
        </w:rPr>
        <w:t xml:space="preserve"> </w:t>
      </w:r>
      <w:r w:rsidR="00B759B5">
        <w:t>the coexistence of NB-IoT</w:t>
      </w:r>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5" w:name="_Toc20741330"/>
      <w:r w:rsidRPr="00235394">
        <w:t>2</w:t>
      </w:r>
      <w:r w:rsidRPr="00235394">
        <w:tab/>
        <w:t>References</w:t>
      </w:r>
      <w:bookmarkEnd w:id="5"/>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77777777" w:rsidR="00E504C8" w:rsidRPr="00235394"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6" w:name="_Toc20741331"/>
      <w:r>
        <w:t>3</w:t>
      </w:r>
      <w:r w:rsidRPr="00235394">
        <w:tab/>
      </w:r>
      <w:r>
        <w:t>Definitions, symbols and abbreviations</w:t>
      </w:r>
      <w:bookmarkEnd w:id="6"/>
    </w:p>
    <w:p w14:paraId="7F9C1D0B" w14:textId="77777777" w:rsidR="00AC694F" w:rsidRPr="00235394" w:rsidRDefault="00AC694F" w:rsidP="00AC694F">
      <w:pPr>
        <w:pStyle w:val="Heading2"/>
      </w:pPr>
      <w:bookmarkStart w:id="7" w:name="_Toc20741332"/>
      <w:r w:rsidRPr="00235394">
        <w:t>3.1</w:t>
      </w:r>
      <w:r w:rsidRPr="00235394">
        <w:tab/>
        <w:t>Definitions</w:t>
      </w:r>
      <w:bookmarkEnd w:id="7"/>
    </w:p>
    <w:p w14:paraId="23133425"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3" w:name="_Toc20741333"/>
      <w:r w:rsidRPr="00235394">
        <w:t>3.2</w:t>
      </w:r>
      <w:r w:rsidRPr="00235394">
        <w:tab/>
        <w:t>Symbols</w:t>
      </w:r>
      <w:bookmarkEnd w:id="13"/>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4" w:name="_Toc20741334"/>
      <w:r w:rsidRPr="00235394">
        <w:t>3.3</w:t>
      </w:r>
      <w:r w:rsidRPr="00235394">
        <w:tab/>
        <w:t>Abbreviations</w:t>
      </w:r>
      <w:bookmarkEnd w:id="14"/>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lastRenderedPageBreak/>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5" w:name="_Toc20741335"/>
      <w:r>
        <w:t>4</w:t>
      </w:r>
      <w:r w:rsidR="00893DD9" w:rsidRPr="00235394">
        <w:tab/>
      </w:r>
      <w:r>
        <w:t>Background</w:t>
      </w:r>
      <w:bookmarkEnd w:id="15"/>
    </w:p>
    <w:p w14:paraId="047BEEC5" w14:textId="6DCAEC0D" w:rsidR="009B2AFC" w:rsidRDefault="008A6B49" w:rsidP="009B2AFC">
      <w:pPr>
        <w:pStyle w:val="Heading2"/>
      </w:pPr>
      <w:bookmarkStart w:id="16" w:name="_Toc519246576"/>
      <w:bookmarkStart w:id="17" w:name="_Toc20741336"/>
      <w:r>
        <w:t>4</w:t>
      </w:r>
      <w:r w:rsidR="009B2AFC" w:rsidRPr="00824EAC">
        <w:t>.1</w:t>
      </w:r>
      <w:r w:rsidR="009B2AFC" w:rsidRPr="00824EAC">
        <w:tab/>
      </w:r>
      <w:r w:rsidRPr="00DB3F50">
        <w:rPr>
          <w:color w:val="000000"/>
        </w:rPr>
        <w:t>Task description</w:t>
      </w:r>
      <w:bookmarkEnd w:id="17"/>
    </w:p>
    <w:bookmarkEnd w:id="16"/>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NB-IoT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18" w:name="_Hlk516784255"/>
      <w:r w:rsidRPr="00331D21">
        <w:rPr>
          <w:bCs/>
        </w:rPr>
        <w:t xml:space="preserve"> </w:t>
      </w:r>
      <w:r>
        <w:rPr>
          <w:bCs/>
        </w:rPr>
        <w:t xml:space="preserve">aspects </w:t>
      </w:r>
      <w:r w:rsidRPr="00331D21">
        <w:rPr>
          <w:bCs/>
        </w:rPr>
        <w:t xml:space="preserve">of </w:t>
      </w:r>
      <w:bookmarkEnd w:id="18"/>
      <w:r>
        <w:rPr>
          <w:bCs/>
        </w:rPr>
        <w:t xml:space="preserve">FDD/TDD </w:t>
      </w:r>
      <w:r w:rsidRPr="00331D21">
        <w:rPr>
          <w:bCs/>
        </w:rPr>
        <w:t xml:space="preserve">NB-IoT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19"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19"/>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NB-IoT.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20" w:name="_Toc20741337"/>
      <w:r>
        <w:lastRenderedPageBreak/>
        <w:t>5</w:t>
      </w:r>
      <w:r w:rsidR="00574154" w:rsidRPr="00235394">
        <w:tab/>
      </w:r>
      <w:r w:rsidR="001E14E2">
        <w:t>NR and NB-IoT c</w:t>
      </w:r>
      <w:r w:rsidR="000A4618">
        <w:t>oexistence</w:t>
      </w:r>
      <w:bookmarkEnd w:id="20"/>
    </w:p>
    <w:p w14:paraId="54EE2F75" w14:textId="53C144F3" w:rsidR="00574154" w:rsidRDefault="00944E9B" w:rsidP="00574154">
      <w:pPr>
        <w:pStyle w:val="Heading2"/>
      </w:pPr>
      <w:bookmarkStart w:id="21" w:name="_Toc20741338"/>
      <w:r>
        <w:t>5</w:t>
      </w:r>
      <w:r w:rsidR="00574154" w:rsidRPr="00824EAC">
        <w:t>.1</w:t>
      </w:r>
      <w:r w:rsidR="00574154" w:rsidRPr="00824EAC">
        <w:tab/>
      </w:r>
      <w:r w:rsidR="00574154">
        <w:t>General</w:t>
      </w:r>
      <w:bookmarkEnd w:id="21"/>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NB-IoT operation in NR in-band:</w:t>
      </w:r>
      <w:r w:rsidRPr="00622236">
        <w:rPr>
          <w:rFonts w:ascii="Times New Roman" w:hAnsi="Times New Roman" w:cs="Times New Roman"/>
          <w:sz w:val="20"/>
          <w:szCs w:val="20"/>
        </w:rPr>
        <w:t xml:space="preserve"> NB-IoT is operating in-band when it is located within a NR transmission bandwidth configuration plus 15 kHz at each edge but not within the NR minimum guard band GB</w:t>
      </w:r>
      <w:r w:rsidRPr="00622236">
        <w:rPr>
          <w:rFonts w:ascii="Times New Roman" w:hAnsi="Times New Roman" w:cs="Times New Roman"/>
          <w:sz w:val="20"/>
          <w:szCs w:val="20"/>
          <w:vertAlign w:val="subscript"/>
        </w:rPr>
        <w:t>Channel</w:t>
      </w:r>
      <w:r w:rsidRPr="00622236">
        <w:rPr>
          <w:rFonts w:ascii="Times New Roman" w:hAnsi="Times New Roman" w:cs="Times New Roman"/>
          <w:sz w:val="20"/>
          <w:szCs w:val="20"/>
        </w:rPr>
        <w:t>.</w:t>
      </w:r>
    </w:p>
    <w:p w14:paraId="4F2C8C39" w14:textId="77777777"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NB-IoT operation in NR guard band:</w:t>
      </w:r>
      <w:r w:rsidRPr="00622236">
        <w:rPr>
          <w:rFonts w:ascii="Times New Roman" w:hAnsi="Times New Roman" w:cs="Times New Roman"/>
          <w:sz w:val="20"/>
          <w:szCs w:val="20"/>
        </w:rPr>
        <w:t xml:space="preserve"> NB-IoT is operating in guard band when it is located within a NR BS channel bandwidth but is not NB-IoT In-band operation.</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NB-IoT standalone operation:</w:t>
      </w:r>
      <w:r w:rsidRPr="00622236">
        <w:rPr>
          <w:rFonts w:ascii="Times New Roman" w:hAnsi="Times New Roman" w:cs="Times New Roman"/>
          <w:sz w:val="20"/>
          <w:szCs w:val="20"/>
        </w:rPr>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6in;height:3in;mso-position-horizontal-relative:page;mso-position-vertical-relative:page" o:ole="">
            <v:imagedata r:id="rId10" o:title=""/>
          </v:shape>
          <o:OLEObject Type="Embed" ProgID="Equation.3" ShapeID="_x0000_i1043" DrawAspect="Content" ObjectID="_1631357055"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22" w:name="_Toc20741339"/>
      <w:r>
        <w:t>5</w:t>
      </w:r>
      <w:r w:rsidR="00812D42">
        <w:t>.2</w:t>
      </w:r>
      <w:r w:rsidR="00812D42" w:rsidRPr="00824EAC">
        <w:tab/>
      </w:r>
      <w:r w:rsidR="00BE54CB">
        <w:t xml:space="preserve">NB-IoT </w:t>
      </w:r>
      <w:r w:rsidR="004E5C1D">
        <w:t>operating in</w:t>
      </w:r>
      <w:r w:rsidR="00BE54CB">
        <w:t xml:space="preserve"> NR in-band</w:t>
      </w:r>
      <w:bookmarkEnd w:id="22"/>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 w:name="_Toc535388086"/>
      <w:bookmarkStart w:id="24" w:name="OLE_LINK23"/>
      <w:r>
        <w:rPr>
          <w:rFonts w:ascii="Arial" w:eastAsia="Times New Roman" w:hAnsi="Arial"/>
          <w:sz w:val="28"/>
          <w:lang w:eastAsia="ko-KR"/>
        </w:rPr>
        <w:lastRenderedPageBreak/>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3"/>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25" w:name="_Toc20741340"/>
      <w:bookmarkEnd w:id="24"/>
      <w:r>
        <w:rPr>
          <w:lang w:eastAsia="zh-CN"/>
        </w:rPr>
        <w:t>5.2.1.1</w:t>
      </w:r>
      <w:r>
        <w:rPr>
          <w:lang w:eastAsia="zh-CN"/>
        </w:rPr>
        <w:tab/>
        <w:t>Convention</w:t>
      </w:r>
      <w:bookmarkEnd w:id="25"/>
    </w:p>
    <w:p w14:paraId="0ACDE209" w14:textId="77777777" w:rsidR="00C14EAA" w:rsidRDefault="00C14EAA" w:rsidP="00C14EAA">
      <w:pPr>
        <w:rPr>
          <w:lang w:eastAsia="zh-CN"/>
        </w:rPr>
      </w:pPr>
      <w:r>
        <w:rPr>
          <w:lang w:eastAsia="zh-CN"/>
        </w:rPr>
        <w:t>In the following sub-sections, focus is on NR 15 kHz SCS. Coexistence with NR 30kHz and 60kHz SCS is nevertheless addressed, mentioning additional guard band would be needed in between NR and NB-IoT. Also, PRBs alignment won’t really make sense anymore as orthogonality could not be preserved when considering 30kHz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NB-IoT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26" w:name="_Toc20741341"/>
      <w:r>
        <w:rPr>
          <w:lang w:eastAsia="zh-CN"/>
        </w:rPr>
        <w:t>5.2.1.2</w:t>
      </w:r>
      <w:r>
        <w:rPr>
          <w:lang w:eastAsia="zh-CN"/>
        </w:rPr>
        <w:tab/>
        <w:t>NB-IoT channel raster</w:t>
      </w:r>
      <w:bookmarkEnd w:id="26"/>
    </w:p>
    <w:p w14:paraId="751C12B8" w14:textId="77777777" w:rsidR="0017755D" w:rsidRDefault="00C14EAA" w:rsidP="00E9341B">
      <w:pPr>
        <w:rPr>
          <w:lang w:eastAsia="zh-CN"/>
        </w:rPr>
      </w:pPr>
      <w:r>
        <w:rPr>
          <w:lang w:eastAsia="zh-CN"/>
        </w:rPr>
        <w:t xml:space="preserve">The NB-IoT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F</w:t>
      </w:r>
      <w:r w:rsidRPr="00341700">
        <w:rPr>
          <w:vertAlign w:val="subscript"/>
        </w:rPr>
        <w:t>DL_low</w:t>
      </w:r>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F</w:t>
      </w:r>
      <w:r w:rsidRPr="00341700">
        <w:rPr>
          <w:vertAlign w:val="subscript"/>
        </w:rPr>
        <w:t>UL_low</w:t>
      </w:r>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NB-IoT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NB-IoT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NB-IoT RB (broadcasting NPSS/NSSS) position is defined with a limited M</w:t>
      </w:r>
      <w:r w:rsidRPr="00341A6B">
        <w:rPr>
          <w:vertAlign w:val="subscript"/>
          <w:lang w:eastAsia="zh-CN"/>
        </w:rPr>
        <w:t>DL</w:t>
      </w:r>
      <w:r>
        <w:rPr>
          <w:lang w:eastAsia="zh-CN"/>
        </w:rPr>
        <w:t xml:space="preserve"> range to </w:t>
      </w:r>
      <w:r w:rsidRPr="00341700">
        <w:t>{-2,-1,0,1}</w:t>
      </w:r>
      <w:r>
        <w:t xml:space="preserve">. </w:t>
      </w:r>
    </w:p>
    <w:p w14:paraId="15742558" w14:textId="77777777" w:rsidR="00C14EAA" w:rsidRDefault="00C14EAA" w:rsidP="00C14EAA">
      <w:pPr>
        <w:pStyle w:val="Heading4"/>
        <w:ind w:left="864" w:hanging="864"/>
        <w:rPr>
          <w:lang w:eastAsia="zh-CN"/>
        </w:rPr>
      </w:pPr>
      <w:bookmarkStart w:id="27" w:name="_Ref727050"/>
      <w:bookmarkStart w:id="28" w:name="_Toc20741342"/>
      <w:r>
        <w:rPr>
          <w:lang w:eastAsia="zh-CN"/>
        </w:rPr>
        <w:t>5.2.1.3</w:t>
      </w:r>
      <w:r>
        <w:rPr>
          <w:lang w:eastAsia="zh-CN"/>
        </w:rPr>
        <w:tab/>
        <w:t>NR channel raster</w:t>
      </w:r>
      <w:bookmarkEnd w:id="27"/>
      <w:bookmarkEnd w:id="28"/>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If this number is odd, the it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29" w:name="_Ref814571"/>
      <w:bookmarkStart w:id="30" w:name="_Ref726992"/>
      <w:bookmarkStart w:id="31" w:name="_Toc20741343"/>
      <w:r>
        <w:rPr>
          <w:lang w:eastAsia="zh-CN"/>
        </w:rPr>
        <w:t>5.2.1.</w:t>
      </w:r>
      <w:r w:rsidRPr="00CA69C7">
        <w:rPr>
          <w:lang w:val="en-US" w:eastAsia="zh-CN"/>
        </w:rPr>
        <w:t>4</w:t>
      </w:r>
      <w:r>
        <w:rPr>
          <w:lang w:val="en-US" w:eastAsia="zh-CN"/>
        </w:rPr>
        <w:tab/>
      </w:r>
      <w:r w:rsidRPr="00CA69C7">
        <w:rPr>
          <w:lang w:val="en-US"/>
        </w:rPr>
        <w:t>NR SS Blocks</w:t>
      </w:r>
      <w:bookmarkEnd w:id="29"/>
      <w:bookmarkEnd w:id="31"/>
    </w:p>
    <w:p w14:paraId="1EA0003F" w14:textId="77777777" w:rsidR="00C14EAA" w:rsidRDefault="00C14EAA" w:rsidP="00C14EAA">
      <w:r>
        <w:t>The presence of the NR Synchronization Signal (SS) blocks would restrict possible options when placing a NB .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E504C8"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E504C8"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NB-IoT RB to avoid overlap with NR SSB in coexistence scenario.</w:t>
      </w:r>
    </w:p>
    <w:p w14:paraId="14AFAAF7" w14:textId="77777777" w:rsidR="00C14EAA" w:rsidRDefault="00C14EAA" w:rsidP="00C14EAA">
      <w:pPr>
        <w:pStyle w:val="Heading4"/>
        <w:ind w:left="864" w:hanging="864"/>
        <w:rPr>
          <w:lang w:eastAsia="zh-CN"/>
        </w:rPr>
      </w:pPr>
      <w:bookmarkStart w:id="32" w:name="_Toc20741344"/>
      <w:r>
        <w:rPr>
          <w:lang w:eastAsia="zh-CN"/>
        </w:rPr>
        <w:t>5.2.1.5</w:t>
      </w:r>
      <w:r>
        <w:rPr>
          <w:lang w:eastAsia="zh-CN"/>
        </w:rPr>
        <w:tab/>
        <w:t>NB-IoT and NR coexistence</w:t>
      </w:r>
      <w:bookmarkEnd w:id="30"/>
      <w:bookmarkEnd w:id="32"/>
    </w:p>
    <w:p w14:paraId="323E7084" w14:textId="77777777" w:rsidR="00C14EAA" w:rsidRDefault="00C14EAA" w:rsidP="00C14EAA">
      <w:pPr>
        <w:rPr>
          <w:lang w:eastAsia="zh-CN"/>
        </w:rPr>
      </w:pPr>
      <w:r>
        <w:rPr>
          <w:lang w:eastAsia="zh-CN"/>
        </w:rPr>
        <w:t>As mentioned before, NB-IoT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NB-IoT carrier frequency is referring to a frequency located in between 2 NB-IoT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3" w:name="_Toc20741345"/>
      <w:r>
        <w:rPr>
          <w:lang w:eastAsia="zh-CN"/>
        </w:rPr>
        <w:t>5.2.1.6</w:t>
      </w:r>
      <w:r>
        <w:rPr>
          <w:lang w:eastAsia="zh-CN"/>
        </w:rPr>
        <w:tab/>
        <w:t>NR 100 kHz channel raster</w:t>
      </w:r>
      <w:bookmarkEnd w:id="33"/>
    </w:p>
    <w:p w14:paraId="4589DC81" w14:textId="77777777" w:rsidR="00C14EAA" w:rsidRDefault="00C14EAA" w:rsidP="00C14EAA">
      <w:pPr>
        <w:pStyle w:val="Heading5"/>
        <w:ind w:left="1008" w:hanging="1008"/>
        <w:rPr>
          <w:lang w:eastAsia="zh-CN"/>
        </w:rPr>
      </w:pPr>
      <w:bookmarkStart w:id="34" w:name="_Toc20741346"/>
      <w:r>
        <w:rPr>
          <w:lang w:eastAsia="zh-CN"/>
        </w:rPr>
        <w:t>5.2.1.6.1</w:t>
      </w:r>
      <w:r>
        <w:rPr>
          <w:lang w:eastAsia="zh-CN"/>
        </w:rPr>
        <w:tab/>
        <w:t>DL considerations</w:t>
      </w:r>
      <w:bookmarkEnd w:id="34"/>
    </w:p>
    <w:p w14:paraId="54DD2D0F" w14:textId="77777777" w:rsidR="00C14EAA" w:rsidRPr="00894787" w:rsidRDefault="00C14EAA" w:rsidP="00C14EAA">
      <w:pPr>
        <w:pStyle w:val="Heading5"/>
        <w:ind w:left="1008" w:hanging="1008"/>
        <w:rPr>
          <w:lang w:eastAsia="zh-CN"/>
        </w:rPr>
      </w:pPr>
      <w:bookmarkStart w:id="35" w:name="_Toc20741347"/>
      <w:r>
        <w:rPr>
          <w:lang w:eastAsia="zh-CN"/>
        </w:rPr>
        <w:t>5.2.1.6.1.1</w:t>
      </w:r>
      <w:r>
        <w:rPr>
          <w:lang w:eastAsia="zh-CN"/>
        </w:rPr>
        <w:tab/>
        <w:t>Carrier frequency</w:t>
      </w:r>
      <w:bookmarkEnd w:id="35"/>
      <w:r>
        <w:rPr>
          <w:lang w:eastAsia="zh-CN"/>
        </w:rPr>
        <w:t xml:space="preserve"> </w:t>
      </w:r>
    </w:p>
    <w:p w14:paraId="44167D61" w14:textId="77777777" w:rsidR="00C14EAA" w:rsidRDefault="00C14EAA" w:rsidP="00C14EAA">
      <w:pPr>
        <w:rPr>
          <w:lang w:eastAsia="zh-CN"/>
        </w:rPr>
      </w:pPr>
      <w:r>
        <w:rPr>
          <w:lang w:eastAsia="zh-CN"/>
        </w:rPr>
        <w:t>Based on previous considerations (NB-IoT carrier frequency, preserving perfect orthogonality in between NB-IoT and NR tones), the following equation should be resolved:</w:t>
      </w:r>
    </w:p>
    <w:p w14:paraId="2DD4BF6A" w14:textId="72F68EAD" w:rsidR="00C14EAA" w:rsidRPr="00071B38" w:rsidRDefault="00C14EAA" w:rsidP="00C14EAA">
      <w:pPr>
        <w:ind w:left="720" w:firstLine="720"/>
        <w:rPr>
          <w:lang w:eastAsia="zh-CN"/>
        </w:rPr>
      </w:pPr>
      <w:bookmarkStart w:id="36"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6"/>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NB-IoT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NB-IoT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37"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7"/>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38"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8"/>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39" w:name="_Toc20741348"/>
      <w:r>
        <w:rPr>
          <w:lang w:eastAsia="zh-CN"/>
        </w:rPr>
        <w:t>5.2.1.6.1.2</w:t>
      </w:r>
      <w:r>
        <w:rPr>
          <w:lang w:eastAsia="zh-CN"/>
        </w:rPr>
        <w:tab/>
        <w:t>RB alignment</w:t>
      </w:r>
      <w:bookmarkEnd w:id="39"/>
    </w:p>
    <w:p w14:paraId="236D1FEF" w14:textId="77777777" w:rsidR="00C14EAA" w:rsidRDefault="00C14EAA" w:rsidP="00C14EAA">
      <w:pPr>
        <w:rPr>
          <w:lang w:eastAsia="zh-CN"/>
        </w:rPr>
      </w:pPr>
      <w:r>
        <w:rPr>
          <w:lang w:eastAsia="zh-CN"/>
        </w:rPr>
        <w:t>NB-IoT RB and NR RB should be aligned to optimize resource utilization, avoiding that a NB-IoT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(6.1) would become: </w:t>
      </w:r>
    </w:p>
    <w:p w14:paraId="4C7791E4" w14:textId="7A00A44B" w:rsidR="00C14EAA" w:rsidRDefault="00C14EAA" w:rsidP="00C14EAA">
      <w:pPr>
        <w:ind w:left="720" w:firstLine="720"/>
        <w:rPr>
          <w:lang w:eastAsia="zh-CN"/>
        </w:rPr>
      </w:pPr>
      <w:bookmarkStart w:id="40"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40"/>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NB-IoT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1"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1"/>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NB-IoT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2"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2"/>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3" w:name="_Toc20741349"/>
      <w:r>
        <w:rPr>
          <w:lang w:eastAsia="zh-CN"/>
        </w:rPr>
        <w:t>5.2.1.6.1.3</w:t>
      </w:r>
      <w:r>
        <w:rPr>
          <w:lang w:eastAsia="zh-CN"/>
        </w:rPr>
        <w:tab/>
        <w:t>Channel bandwidth</w:t>
      </w:r>
      <w:bookmarkEnd w:id="43"/>
    </w:p>
    <w:p w14:paraId="072C391A" w14:textId="77777777" w:rsidR="00C14EAA" w:rsidRDefault="00C14EAA" w:rsidP="00C14EAA">
      <w:pPr>
        <w:rPr>
          <w:lang w:eastAsia="zh-CN"/>
        </w:rPr>
      </w:pPr>
      <w:r>
        <w:rPr>
          <w:lang w:eastAsia="zh-CN"/>
        </w:rPr>
        <w:t xml:space="preserve">In previous equations (6.4) and (6.6), (n-m) represents the frequency separation in between NB-IoT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NB-IoT carrier from that NR reference frequency. And vice-versa, for a given NB-IoT carrier frequency, (n-m) would indicate the relative frequency position of NR reference frequency from that NB-IoT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44" w:name="_Toc20741350"/>
      <w:r>
        <w:rPr>
          <w:lang w:eastAsia="zh-CN"/>
        </w:rPr>
        <w:t>5.2.1.6.1.4</w:t>
      </w:r>
      <w:r>
        <w:rPr>
          <w:lang w:eastAsia="zh-CN"/>
        </w:rPr>
        <w:tab/>
      </w:r>
      <w:r>
        <w:t>Conclusion</w:t>
      </w:r>
      <w:bookmarkEnd w:id="44"/>
    </w:p>
    <w:p w14:paraId="1F51E0C8" w14:textId="77777777" w:rsidR="00C14EAA" w:rsidRDefault="00C14EAA" w:rsidP="00C14EAA">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37FAEB1E"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45" w:name="_Toc20741351"/>
      <w:r>
        <w:rPr>
          <w:lang w:eastAsia="zh-CN"/>
        </w:rPr>
        <w:t>5.2.1.6.1.5</w:t>
      </w:r>
      <w:r>
        <w:rPr>
          <w:lang w:eastAsia="zh-CN"/>
        </w:rPr>
        <w:tab/>
        <w:t>Example</w:t>
      </w:r>
      <w:bookmarkEnd w:id="45"/>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 …,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46" w:name="_Toc20741352"/>
      <w:r>
        <w:rPr>
          <w:lang w:eastAsia="zh-CN"/>
        </w:rPr>
        <w:t>5.2.1.6.2</w:t>
      </w:r>
      <w:r>
        <w:rPr>
          <w:lang w:eastAsia="zh-CN"/>
        </w:rPr>
        <w:tab/>
        <w:t>NR FDD bands– UL considerations</w:t>
      </w:r>
      <w:bookmarkEnd w:id="46"/>
    </w:p>
    <w:p w14:paraId="717825E7" w14:textId="77777777" w:rsidR="00C14EAA" w:rsidRDefault="00C14EAA" w:rsidP="00C14EAA">
      <w:r>
        <w:t xml:space="preserve">Due the DC component in DL but not in UL, there is a 7.5 kHz shift in between DL and UL for E-UTRA. As NB-IoT might be operated in E-UTRA in-band, this shift exists also in between NB-IoT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Δ</w:t>
      </w:r>
      <w:r w:rsidRPr="005A07C7">
        <w:rPr>
          <w:noProof w:val="0"/>
          <w:vertAlign w:val="subscript"/>
        </w:rPr>
        <w:t>shift</w:t>
      </w:r>
      <w:r w:rsidRPr="005A07C7">
        <w:rPr>
          <w:noProof w:val="0"/>
        </w:rPr>
        <w:t>,  Δ</w:t>
      </w:r>
      <w:r w:rsidRPr="005A07C7">
        <w:rPr>
          <w:noProof w:val="0"/>
          <w:vertAlign w:val="subscript"/>
        </w:rPr>
        <w:t>shift</w:t>
      </w:r>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NB-IoT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47" w:name="_Toc20741353"/>
      <w:r>
        <w:rPr>
          <w:lang w:eastAsia="zh-CN"/>
        </w:rPr>
        <w:t>5.2.1.6.3</w:t>
      </w:r>
      <w:r>
        <w:rPr>
          <w:lang w:eastAsia="zh-CN"/>
        </w:rPr>
        <w:tab/>
        <w:t>NR TDD bands – UL considerations</w:t>
      </w:r>
      <w:bookmarkEnd w:id="47"/>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NB-IoT.</w:t>
      </w:r>
    </w:p>
    <w:p w14:paraId="5862B62D" w14:textId="228C06B2" w:rsidR="00C14EAA" w:rsidRDefault="00C14EAA" w:rsidP="00C14EAA">
      <w:pPr>
        <w:rPr>
          <w:lang w:eastAsia="zh-CN"/>
        </w:rPr>
      </w:pPr>
      <w:r>
        <w:rPr>
          <w:lang w:eastAsia="zh-CN"/>
        </w:rPr>
        <w:t xml:space="preserve">However, 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 xml:space="preserve">The NB-IoT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NB-IoT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NB-IoT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48" w:name="_Toc20741354"/>
      <w:r>
        <w:rPr>
          <w:lang w:eastAsia="zh-CN"/>
        </w:rPr>
        <w:t>5.2.1.6.4</w:t>
      </w:r>
      <w:r>
        <w:rPr>
          <w:lang w:eastAsia="zh-CN"/>
        </w:rPr>
        <w:tab/>
        <w:t>Example</w:t>
      </w:r>
      <w:bookmarkEnd w:id="48"/>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2,135 MHz.</w:t>
      </w:r>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1200*N+50*M+10*180-7.5 kHz.</w:t>
      </w:r>
    </w:p>
    <w:p w14:paraId="256488E2" w14:textId="77777777" w:rsidR="00C14EAA" w:rsidRDefault="00C14EAA" w:rsidP="00C14EAA">
      <w:pPr>
        <w:rPr>
          <w:lang w:eastAsia="zh-CN"/>
        </w:rPr>
      </w:pPr>
      <w:r>
        <w:rPr>
          <w:lang w:eastAsia="zh-CN"/>
        </w:rPr>
        <w:t>Assuming N=1778 and M=5 (GSCN=5333), being subcarrier aligned, the SS block would occupy frequency range [2,132,042.5 ; 2,135,642.5] kHz. In other words, SS block would overlap NR RBs #(-17) to #3.</w:t>
      </w:r>
    </w:p>
    <w:p w14:paraId="1CE40C63" w14:textId="77777777" w:rsidR="00C14EAA" w:rsidRDefault="00C14EAA" w:rsidP="00C14EAA">
      <w:pPr>
        <w:rPr>
          <w:lang w:eastAsia="zh-CN"/>
        </w:rPr>
      </w:pPr>
      <w:r>
        <w:rPr>
          <w:lang w:eastAsia="zh-CN"/>
        </w:rPr>
        <w:t>Considering NB-IoT and NR RB alignment, NB-IoT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NB-IoT RB over 2 NR RBs then) would offer more options for possible NB-IoT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49" w:name="_Toc20741355"/>
      <w:r>
        <w:rPr>
          <w:lang w:eastAsia="zh-CN"/>
        </w:rPr>
        <w:lastRenderedPageBreak/>
        <w:t>5.2.1.7</w:t>
      </w:r>
      <w:r>
        <w:rPr>
          <w:lang w:eastAsia="zh-CN"/>
        </w:rPr>
        <w:tab/>
        <w:t>NR SCS based channel raster</w:t>
      </w:r>
      <w:bookmarkEnd w:id="49"/>
    </w:p>
    <w:p w14:paraId="4C10C625" w14:textId="77777777" w:rsidR="00C14EAA" w:rsidRDefault="00C14EAA" w:rsidP="00C14EAA">
      <w:pPr>
        <w:pStyle w:val="Heading5"/>
        <w:ind w:left="1008" w:hanging="1008"/>
        <w:rPr>
          <w:lang w:eastAsia="zh-CN"/>
        </w:rPr>
      </w:pPr>
      <w:bookmarkStart w:id="50" w:name="_Toc20741356"/>
      <w:r>
        <w:rPr>
          <w:lang w:eastAsia="zh-CN"/>
        </w:rPr>
        <w:t>5.2.1.7.1</w:t>
      </w:r>
      <w:r>
        <w:rPr>
          <w:lang w:eastAsia="zh-CN"/>
        </w:rPr>
        <w:tab/>
        <w:t>DL considerations</w:t>
      </w:r>
      <w:bookmarkEnd w:id="50"/>
    </w:p>
    <w:p w14:paraId="3A8E4C8A" w14:textId="77777777" w:rsidR="00C14EAA" w:rsidRPr="00894787" w:rsidRDefault="00C14EAA" w:rsidP="00C14EAA">
      <w:pPr>
        <w:pStyle w:val="Heading5"/>
        <w:ind w:left="1008" w:hanging="1008"/>
        <w:rPr>
          <w:lang w:eastAsia="zh-CN"/>
        </w:rPr>
      </w:pPr>
      <w:bookmarkStart w:id="51" w:name="_Toc20741357"/>
      <w:r>
        <w:rPr>
          <w:lang w:eastAsia="zh-CN"/>
        </w:rPr>
        <w:t>5.2.1.7.1.1</w:t>
      </w:r>
      <w:r>
        <w:rPr>
          <w:lang w:eastAsia="zh-CN"/>
        </w:rPr>
        <w:tab/>
        <w:t>Carrier frequency</w:t>
      </w:r>
      <w:bookmarkEnd w:id="51"/>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2" w:name="_Hlk4089320"/>
      <w:bookmarkStart w:id="53"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2"/>
        <m:r>
          <m:rPr>
            <m:sty m:val="p"/>
          </m:rPr>
          <w:rPr>
            <w:rFonts w:ascii="Cambria Math" w:hAnsi="Cambria Math" w:cs="Arial"/>
            <w:sz w:val="22"/>
            <w:lang w:eastAsia="zh-CN"/>
          </w:rPr>
          <m:t>I-7.5</m:t>
        </m:r>
      </m:oMath>
      <w:bookmarkEnd w:id="53"/>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r>
        <w:rPr>
          <w:lang w:eastAsia="zh-CN"/>
        </w:rPr>
        <w:t xml:space="preserve"> :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54"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54"/>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55" w:name="_Toc20741358"/>
      <w:r>
        <w:rPr>
          <w:lang w:eastAsia="zh-CN"/>
        </w:rPr>
        <w:t>5.2.1.7.1.2</w:t>
      </w:r>
      <w:r>
        <w:rPr>
          <w:lang w:eastAsia="zh-CN"/>
        </w:rPr>
        <w:tab/>
        <w:t>RB alignment</w:t>
      </w:r>
      <w:bookmarkEnd w:id="55"/>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56" w:name="_Toc20741359"/>
      <w:r>
        <w:rPr>
          <w:lang w:eastAsia="zh-CN"/>
        </w:rPr>
        <w:t>5.2.1.7.1.3</w:t>
      </w:r>
      <w:r>
        <w:rPr>
          <w:lang w:eastAsia="zh-CN"/>
        </w:rPr>
        <w:tab/>
        <w:t>Channel bandwidth</w:t>
      </w:r>
      <w:bookmarkEnd w:id="56"/>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NB-IoT, with NR SCS based channel raster, the possible positions of NB-IoT RB depend here of NR carrier frequency position. For a given NR channel bandwidth signal, it’s then not possible to give the candidate list of NB-IoT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57" w:name="_Ref728448"/>
      <w:bookmarkStart w:id="58" w:name="_Toc20741360"/>
      <w:r>
        <w:rPr>
          <w:lang w:eastAsia="zh-CN"/>
        </w:rPr>
        <w:t>5.2.1.7.1.4</w:t>
      </w:r>
      <w:r>
        <w:rPr>
          <w:lang w:eastAsia="zh-CN"/>
        </w:rPr>
        <w:tab/>
      </w:r>
      <w:r>
        <w:t>Conclusion</w:t>
      </w:r>
      <w:bookmarkEnd w:id="57"/>
      <w:bookmarkEnd w:id="58"/>
    </w:p>
    <w:p w14:paraId="35E8AB82" w14:textId="77777777" w:rsidR="00C14EAA" w:rsidRDefault="00C14EAA" w:rsidP="00C14EAA">
      <w:r>
        <w:t>NB-IoT and NR operating could coexist in NR bands supporting SCS based channel raster, but also optimizing resource utilization by aligning respective RBs for 15 kHz SCS.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0D31FE04"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59" w:name="_Toc20741361"/>
      <w:r>
        <w:rPr>
          <w:lang w:eastAsia="zh-CN"/>
        </w:rPr>
        <w:t>5.2.1.7.2</w:t>
      </w:r>
      <w:r>
        <w:rPr>
          <w:lang w:eastAsia="zh-CN"/>
        </w:rPr>
        <w:tab/>
        <w:t>UL considerations</w:t>
      </w:r>
      <w:bookmarkEnd w:id="59"/>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 xml:space="preserve">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 xml:space="preserve">The NB-IoT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NB-IoT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NB-IoT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60" w:name="_Toc20741362"/>
      <w:r>
        <w:rPr>
          <w:lang w:eastAsia="zh-CN"/>
        </w:rPr>
        <w:lastRenderedPageBreak/>
        <w:t>5.2.1.7.3</w:t>
      </w:r>
      <w:r>
        <w:rPr>
          <w:lang w:eastAsia="zh-CN"/>
        </w:rPr>
        <w:tab/>
        <w:t>Example</w:t>
      </w:r>
      <w:bookmarkEnd w:id="60"/>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2,562 MHz.</w:t>
      </w:r>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1200*N+50*M+10*180-7.5 kHz.</w:t>
      </w:r>
    </w:p>
    <w:p w14:paraId="13AE29C8" w14:textId="77777777" w:rsidR="00C14EAA" w:rsidRDefault="00C14EAA" w:rsidP="00C14EAA">
      <w:pPr>
        <w:rPr>
          <w:lang w:eastAsia="zh-CN"/>
        </w:rPr>
      </w:pPr>
      <w:r>
        <w:rPr>
          <w:lang w:eastAsia="zh-CN"/>
        </w:rPr>
        <w:t>Assuming N=2134 and M=3 (GSCN=6402), being subcarrier aligned, the SS block would occupy frequency range [2,559,142.5 ; 2,562,742.5] kHz. In other words, SS block would overlap NR RBs #(-17) to #4.</w:t>
      </w:r>
    </w:p>
    <w:p w14:paraId="1B85A331" w14:textId="77777777" w:rsidR="00C14EAA" w:rsidRDefault="00C14EAA" w:rsidP="00C14EAA">
      <w:pPr>
        <w:rPr>
          <w:lang w:eastAsia="zh-CN"/>
        </w:rPr>
      </w:pPr>
      <w:r w:rsidRPr="00F44E04">
        <w:rPr>
          <w:lang w:eastAsia="zh-CN"/>
        </w:rPr>
        <w:t>Considering NB-IoT and NR RB alignment, NB-IoT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07F57B8A" w:rsidR="0025308A" w:rsidRDefault="0025308A" w:rsidP="0025308A">
      <w:r w:rsidRPr="0025308A">
        <w:rPr>
          <w:rFonts w:hint="eastAsia"/>
        </w:rPr>
        <w:t xml:space="preserve">As NR could support several numerology,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379CB921" w14:textId="59E4064A" w:rsidR="001A51E3" w:rsidRDefault="00944E9B" w:rsidP="00812D42">
      <w:pPr>
        <w:pStyle w:val="Heading2"/>
      </w:pPr>
      <w:bookmarkStart w:id="61" w:name="_Toc20741363"/>
      <w:r>
        <w:t>5</w:t>
      </w:r>
      <w:r w:rsidR="001A51E3">
        <w:t>.3</w:t>
      </w:r>
      <w:r w:rsidR="001A51E3" w:rsidRPr="00824EAC">
        <w:tab/>
      </w:r>
      <w:r w:rsidR="004E5C1D">
        <w:t>NB-IoT operating in</w:t>
      </w:r>
      <w:r w:rsidR="00BE54CB">
        <w:t xml:space="preserve"> NR guard-band</w:t>
      </w:r>
      <w:bookmarkEnd w:id="61"/>
    </w:p>
    <w:p w14:paraId="6DED5B81" w14:textId="77777777" w:rsidR="007007D3" w:rsidRDefault="007007D3" w:rsidP="007007D3">
      <w:pPr>
        <w:pStyle w:val="Heading3"/>
      </w:pPr>
      <w:bookmarkStart w:id="62" w:name="_Toc20741364"/>
      <w:r>
        <w:t>5.3.1</w:t>
      </w:r>
      <w:r>
        <w:tab/>
        <w:t>Spectrum utilization consideration</w:t>
      </w:r>
      <w:bookmarkEnd w:id="62"/>
    </w:p>
    <w:p w14:paraId="45DC4C8A" w14:textId="77777777" w:rsidR="007007D3" w:rsidRDefault="007007D3" w:rsidP="007007D3">
      <w:pPr>
        <w:rPr>
          <w:lang w:val="en-US" w:eastAsia="zh-TW"/>
        </w:rPr>
      </w:pPr>
      <w:r>
        <w:t xml:space="preserve">Compared to LTE which has fixed spectrum utilization for channel bandwidth larger than and equal to 3 MHz, the spectrum utilization has been improved for NR especially for 15 kHz SCS. Spectrum utilization values in Rel-15 are the results of companies’ compromise. NB-IoT operating in NR guard band need further increase the spectrum utilization hence NB-IoT should not be considered for operating in NR guard band for 15 </w:t>
      </w:r>
      <w:r>
        <w:rPr>
          <w:lang w:eastAsia="zh-CN"/>
        </w:rPr>
        <w:t>kHz</w:t>
      </w:r>
      <w:r>
        <w:t xml:space="preserve"> SCS.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63" w:name="_Toc20741365"/>
      <w:r>
        <w:rPr>
          <w:lang w:val="en-US" w:eastAsia="zh-TW"/>
        </w:rPr>
        <w:t>5.3.2</w:t>
      </w:r>
      <w:r>
        <w:rPr>
          <w:lang w:val="en-US" w:eastAsia="zh-TW"/>
        </w:rPr>
        <w:tab/>
        <w:t>Refarming consideration</w:t>
      </w:r>
      <w:bookmarkEnd w:id="63"/>
    </w:p>
    <w:p w14:paraId="2113A96D" w14:textId="77777777" w:rsidR="007007D3" w:rsidRDefault="007007D3" w:rsidP="007007D3">
      <w:pPr>
        <w:rPr>
          <w:lang w:val="en-US" w:eastAsia="zh-TW"/>
        </w:rPr>
      </w:pPr>
      <w:r>
        <w:rPr>
          <w:lang w:val="en-US" w:eastAsia="zh-TW"/>
        </w:rPr>
        <w:t xml:space="preserve">When refarming the LTE carrier to NR carrier with the existence of downlink anchor guard-band NB-IoT operations, keeping same NB-IoT carrier frequency, NB-IoT might partially operate in NR in-band and partially in NR guard band as shown in figure 5.3.1. </w:t>
      </w:r>
    </w:p>
    <w:p w14:paraId="0A578228" w14:textId="1204A747" w:rsidR="007007D3" w:rsidRDefault="007007D3" w:rsidP="007007D3">
      <w:pPr>
        <w:rPr>
          <w:lang w:val="en-US" w:eastAsia="zh-TW"/>
        </w:rPr>
      </w:pPr>
      <w:r>
        <w:rPr>
          <w:noProof/>
          <w:lang w:val="en-US"/>
        </w:rPr>
        <w:lastRenderedPageBreak/>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NB-IoT operation for 10MHz LTE channel bandwidth refarming to 15kHz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15kHz, the guard-band NB-IoT PRB operating in the upper half of the LTE 10MHz channel bandwidth will not be aligned with NR PRB 51, which results in one NB-IoT subcarrier falling into NR guard band. However, the frequency distance from NB-IoT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NB-IoT 15 kHz sub-carrier would operate in NR guard band, still consider this case as NB-IoT operation in NR in-band.</w:t>
      </w:r>
    </w:p>
    <w:p w14:paraId="4340481A" w14:textId="77777777" w:rsidR="007007D3" w:rsidRDefault="007007D3" w:rsidP="007007D3">
      <w:pPr>
        <w:pStyle w:val="Heading3"/>
        <w:rPr>
          <w:lang w:val="en-US" w:eastAsia="zh-TW"/>
        </w:rPr>
      </w:pPr>
      <w:bookmarkStart w:id="64" w:name="_Toc20741366"/>
      <w:r>
        <w:rPr>
          <w:lang w:val="en-US" w:eastAsia="zh-TW"/>
        </w:rPr>
        <w:t xml:space="preserve">5.3.3 </w:t>
      </w:r>
      <w:r>
        <w:rPr>
          <w:lang w:val="en-US" w:eastAsia="zh-TW"/>
        </w:rPr>
        <w:tab/>
        <w:t>Conclusion</w:t>
      </w:r>
      <w:bookmarkEnd w:id="64"/>
    </w:p>
    <w:p w14:paraId="141ADB86" w14:textId="77777777" w:rsidR="007007D3" w:rsidRDefault="007007D3" w:rsidP="007007D3">
      <w:pPr>
        <w:rPr>
          <w:lang w:val="en-US" w:eastAsia="zh-TW"/>
        </w:rPr>
      </w:pPr>
      <w:r>
        <w:rPr>
          <w:lang w:val="en-US" w:eastAsia="zh-TW"/>
        </w:rPr>
        <w:t>NB-IoT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65" w:name="_Toc20741367"/>
      <w:r>
        <w:t>5</w:t>
      </w:r>
      <w:r w:rsidR="00F25D2D">
        <w:t>.4</w:t>
      </w:r>
      <w:r w:rsidR="00F25D2D">
        <w:tab/>
      </w:r>
      <w:r w:rsidR="00B759B5" w:rsidRPr="00B759B5">
        <w:t>NB-IoT standalone operating</w:t>
      </w:r>
      <w:bookmarkEnd w:id="65"/>
    </w:p>
    <w:p w14:paraId="3525250C" w14:textId="77777777" w:rsidR="00F70307" w:rsidRDefault="00F70307" w:rsidP="00F70307">
      <w:pPr>
        <w:rPr>
          <w:bCs/>
        </w:rPr>
      </w:pPr>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 xml:space="preserve">14/15 NB-IoT standalone operation </w:t>
      </w:r>
      <w:r>
        <w:rPr>
          <w:rFonts w:eastAsia="SimSun"/>
          <w:szCs w:val="21"/>
          <w:lang w:eastAsia="zh-CN"/>
        </w:rPr>
        <w:t>is provided in annex A.</w:t>
      </w:r>
      <w:r>
        <w:rPr>
          <w:bCs/>
        </w:rPr>
        <w:t xml:space="preserve"> 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66"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66"/>
    </w:p>
    <w:p w14:paraId="732DE5AA" w14:textId="3E69BA12" w:rsidR="001E14E2" w:rsidRPr="004B3A0A" w:rsidRDefault="00B759B5" w:rsidP="001E14E2">
      <w:pPr>
        <w:rPr>
          <w:i/>
          <w:color w:val="0000FF"/>
        </w:rPr>
      </w:pPr>
      <w:r>
        <w:rPr>
          <w:i/>
          <w:color w:val="0000FF"/>
        </w:rPr>
        <w:t>Text will be added</w:t>
      </w:r>
    </w:p>
    <w:p w14:paraId="3E7B96AE" w14:textId="0F7D8BFC" w:rsidR="001E14E2" w:rsidRPr="004B3A0A" w:rsidRDefault="001E14E2" w:rsidP="007A72E9">
      <w:pPr>
        <w:rPr>
          <w:i/>
          <w:color w:val="0000FF"/>
        </w:rPr>
      </w:pPr>
    </w:p>
    <w:p w14:paraId="65546268" w14:textId="0C2567B5" w:rsidR="00884A64" w:rsidRDefault="00944E9B" w:rsidP="00884A64">
      <w:pPr>
        <w:pStyle w:val="Heading2"/>
      </w:pPr>
      <w:bookmarkStart w:id="67" w:name="_Toc20741369"/>
      <w:r>
        <w:t>5</w:t>
      </w:r>
      <w:r w:rsidR="00884A64">
        <w:t>.6</w:t>
      </w:r>
      <w:r w:rsidR="00884A64">
        <w:tab/>
      </w:r>
      <w:r w:rsidRPr="00944E9B">
        <w:t>Specification and conformance impact</w:t>
      </w:r>
      <w:bookmarkEnd w:id="67"/>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LTE+NB-IoT (LTE in-band/guard band) could also meet current RF requirements when operating NR+(LTE)+NB-IoT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lastRenderedPageBreak/>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NB-IoT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NB-IoT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NB-IoT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68" w:name="_Toc20741370"/>
      <w:r>
        <w:lastRenderedPageBreak/>
        <w:t>6</w:t>
      </w:r>
      <w:r w:rsidR="0025557B" w:rsidRPr="00235394">
        <w:tab/>
      </w:r>
      <w:r>
        <w:t>Summary</w:t>
      </w:r>
      <w:bookmarkEnd w:id="68"/>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69" w:name="historyclause"/>
      <w:bookmarkStart w:id="70" w:name="_Toc20741371"/>
      <w:r w:rsidR="00DF31F0">
        <w:lastRenderedPageBreak/>
        <w:t>Annex</w:t>
      </w:r>
      <w:r w:rsidR="00DF31F0" w:rsidRPr="00235394">
        <w:tab/>
      </w:r>
      <w:r w:rsidR="00DF31F0">
        <w:t>A:</w:t>
      </w:r>
      <w:bookmarkEnd w:id="70"/>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71" w:name="_Toc5279904"/>
      <w:bookmarkStart w:id="72"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71"/>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r>
        <w:t>Note that the NB-IoT BS ACLR2 of 50dBc is used here because the NB-IoT BS ACLR1 will fall into the 500kHz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 xml:space="preserve">of the victim LTE and NR UE are equal (with four decimal point precision) in all simulated cases. This can be explained by the fact that the only difference between the victim LTE and NR UE is the DL bandwidth configuration which accounts to only [10log10(9.36e6/9e6)=]0.17dB difference in the UE receiver noise floor, which is minimal compared to the cumulative interference caused by the interfering NB-IoT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72"/>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 xml:space="preserve">NR channel model, and thus the coupling loss between the victim UE and the interfering NB-IoT BS can be much smaller using the NR channel model (below 50dB as shown in Figures A.2-1 and A.2-2) compared to those using the legacy channel model in Figures A.1-1 and A.1-2 (where MCL is 70dB). This means that the impact from the interfering NB-IoT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 xml:space="preserve">of the victim NR UE is lower than those of the victim LTE UE. This shows that the UE specific beamforming used in the NR BS can effectively reduce the impact from the interfering NB-IoT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bookmarkStart w:id="73" w:name="_Hlk6495912"/>
      <w:r>
        <w:rPr>
          <w:rFonts w:eastAsia="SimSun"/>
          <w:szCs w:val="21"/>
          <w:lang w:eastAsia="zh-CN"/>
        </w:rPr>
        <w:t xml:space="preserve">The number of active users in both victim and interfering systems is 3. </w:t>
      </w:r>
      <w:r>
        <w:t xml:space="preserve">Note that the NB-IoT UE UL power control parameter PLx-ile is bandwidth scaled targeting 15 dB uplink SNR at the serving BS, and the NB-IoT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74" w:name="_Hlk6504131"/>
      <w:r>
        <w:t xml:space="preserve">transmission </w:t>
      </w:r>
      <w:bookmarkEnd w:id="74"/>
      <w:r w:rsidRPr="007F4011">
        <w:t>bandwidth</w:t>
      </w:r>
      <w:r>
        <w:t>. The LTE or NR BS ACS is 45dBc. Consequently, the overall ACIR is dominate by the NB-IoT UE ACLR.</w:t>
      </w:r>
      <w:bookmarkEnd w:id="73"/>
    </w:p>
    <w:p w14:paraId="34745202" w14:textId="77777777" w:rsidR="008157EB" w:rsidRPr="00580957" w:rsidRDefault="008157EB" w:rsidP="008157EB">
      <w:r>
        <w:t xml:space="preserve">The CDFs of the </w:t>
      </w:r>
      <w:bookmarkStart w:id="75" w:name="_Hlk6496043"/>
      <w:r>
        <w:t>LTE and NB-IoT UE transmit power</w:t>
      </w:r>
      <w:r w:rsidRPr="00913C06">
        <w:t xml:space="preserve"> </w:t>
      </w:r>
      <w:bookmarkEnd w:id="75"/>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 xml:space="preserve">The CDFs of the NR and NB-IoT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[10log10(9.36e6/9e6)=]0.17dB difference in the BS receiver noise floor, which is minimal compared to the cumulative interference caused by the interfering NB-IoT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3B4CEF18" w14:textId="7BADF952" w:rsidR="00D24390" w:rsidRPr="00580957" w:rsidRDefault="008157EB" w:rsidP="00D24390">
      <w:r>
        <w:t>The CDFs of the LTE and NB-IoT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NB-IoT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 xml:space="preserve">of the victim NR UE are higher than those of the victim LTE UE. This can be explained by the fact that the NB-IoT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76" w:name="_Toc455960317"/>
      <w:bookmarkStart w:id="77" w:name="_Toc20741372"/>
      <w:r w:rsidRPr="00A968BF">
        <w:t xml:space="preserve">Annex </w:t>
      </w:r>
      <w:r>
        <w:t>B</w:t>
      </w:r>
      <w:r w:rsidR="007B4FA8">
        <w:t xml:space="preserve"> </w:t>
      </w:r>
      <w:r w:rsidRPr="00A968BF">
        <w:t>(informative):</w:t>
      </w:r>
      <w:bookmarkEnd w:id="77"/>
      <w:r w:rsidRPr="00A968BF">
        <w:br/>
      </w:r>
    </w:p>
    <w:p w14:paraId="0046C386" w14:textId="7DFA771C" w:rsidR="00DF31F0" w:rsidRPr="00A968BF" w:rsidRDefault="00DF31F0" w:rsidP="00E9341B">
      <w:pPr>
        <w:pStyle w:val="Heading1"/>
      </w:pPr>
      <w:bookmarkStart w:id="78" w:name="_Toc20741373"/>
      <w:r w:rsidRPr="00A968BF">
        <w:t>Change history</w:t>
      </w:r>
      <w:bookmarkEnd w:id="76"/>
      <w:bookmarkEnd w:id="78"/>
    </w:p>
    <w:p w14:paraId="3068C067" w14:textId="77777777" w:rsidR="007D6048" w:rsidRDefault="007D6048" w:rsidP="006B0D02">
      <w:pPr>
        <w:pStyle w:val="Guidance"/>
      </w:pPr>
      <w:bookmarkStart w:id="79" w:name="OLE_LINK6"/>
      <w:bookmarkStart w:id="80" w:name="OLE_LINK7"/>
      <w:bookmarkStart w:id="81" w:name="OLE_LINK20"/>
      <w:bookmarkStart w:id="82" w:name="OLE_LINK21"/>
      <w:bookmarkStart w:id="8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79"/>
          <w:bookmarkEnd w:id="80"/>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447FAA2D" w:rsidR="000F281D" w:rsidRDefault="000F281D" w:rsidP="006B0D02">
            <w:pPr>
              <w:pStyle w:val="TAC"/>
              <w:rPr>
                <w:sz w:val="16"/>
                <w:szCs w:val="16"/>
              </w:rPr>
            </w:pPr>
            <w:r>
              <w:rPr>
                <w:sz w:val="16"/>
                <w:szCs w:val="16"/>
              </w:rPr>
              <w:t>R4-19</w:t>
            </w:r>
            <w:r w:rsidR="007A6C64">
              <w:rPr>
                <w:sz w:val="16"/>
                <w:szCs w:val="16"/>
              </w:rPr>
              <w:t>1</w:t>
            </w:r>
            <w:bookmarkStart w:id="84" w:name="_GoBack"/>
            <w:bookmarkEnd w:id="84"/>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1862F610" w:rsidR="000F281D" w:rsidRDefault="000F281D" w:rsidP="006B0D02">
            <w:pPr>
              <w:pStyle w:val="TAL"/>
              <w:rPr>
                <w:sz w:val="16"/>
                <w:szCs w:val="16"/>
              </w:rPr>
            </w:pPr>
            <w:r>
              <w:rPr>
                <w:sz w:val="16"/>
                <w:szCs w:val="16"/>
              </w:rPr>
              <w:t xml:space="preserve">Implemented following </w:t>
            </w:r>
            <w:r w:rsidR="00761ABD">
              <w:rPr>
                <w:sz w:val="16"/>
                <w:szCs w:val="16"/>
              </w:rPr>
              <w:t>TPs endorsed during RAN4#91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bl>
    <w:bookmarkEnd w:id="69"/>
    <w:p w14:paraId="792E8551" w14:textId="77777777" w:rsidR="00E8629F" w:rsidRPr="00235394" w:rsidRDefault="00494025" w:rsidP="00FE0E93">
      <w:r w:rsidDel="00494025">
        <w:t xml:space="preserve"> </w:t>
      </w:r>
      <w:bookmarkEnd w:id="81"/>
      <w:bookmarkEnd w:id="82"/>
      <w:bookmarkEnd w:id="83"/>
    </w:p>
    <w:sectPr w:rsidR="00E8629F" w:rsidRPr="0023539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5A6D8" w14:textId="77777777" w:rsidR="002B73F7" w:rsidRDefault="002B73F7">
      <w:r>
        <w:separator/>
      </w:r>
    </w:p>
  </w:endnote>
  <w:endnote w:type="continuationSeparator" w:id="0">
    <w:p w14:paraId="4F73D8E7" w14:textId="77777777" w:rsidR="002B73F7" w:rsidRDefault="002B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A5AC" w14:textId="77777777" w:rsidR="00E504C8" w:rsidRDefault="00E504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CEB32" w14:textId="77777777" w:rsidR="002B73F7" w:rsidRDefault="002B73F7">
      <w:r>
        <w:separator/>
      </w:r>
    </w:p>
  </w:footnote>
  <w:footnote w:type="continuationSeparator" w:id="0">
    <w:p w14:paraId="773E118E" w14:textId="77777777" w:rsidR="002B73F7" w:rsidRDefault="002B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304DA" w14:textId="371F2DE6" w:rsidR="00E504C8" w:rsidRDefault="00E504C8">
    <w:pPr>
      <w:pStyle w:val="Header"/>
      <w:framePr w:wrap="auto" w:vAnchor="text" w:hAnchor="margin" w:xAlign="right" w:y="1"/>
      <w:widowControl/>
    </w:pPr>
    <w:r>
      <w:fldChar w:fldCharType="begin"/>
    </w:r>
    <w:r>
      <w:instrText xml:space="preserve"> STYLEREF ZA </w:instrText>
    </w:r>
    <w:r>
      <w:fldChar w:fldCharType="separate"/>
    </w:r>
    <w:r w:rsidR="00622236">
      <w:t>3GPP TR 37.824 V0.2.0 (2019-10)</w:t>
    </w:r>
    <w:r>
      <w:fldChar w:fldCharType="end"/>
    </w:r>
  </w:p>
  <w:p w14:paraId="7CBDC914" w14:textId="5EBB253C" w:rsidR="00E504C8" w:rsidRDefault="00E504C8">
    <w:pPr>
      <w:pStyle w:val="Header"/>
      <w:framePr w:wrap="auto" w:vAnchor="text" w:hAnchor="margin" w:xAlign="center" w:y="1"/>
      <w:widowControl/>
    </w:pPr>
    <w:r>
      <w:fldChar w:fldCharType="begin"/>
    </w:r>
    <w:r>
      <w:instrText xml:space="preserve"> PAGE </w:instrText>
    </w:r>
    <w:r>
      <w:fldChar w:fldCharType="separate"/>
    </w:r>
    <w:r w:rsidR="00622236">
      <w:t>4</w:t>
    </w:r>
    <w:r>
      <w:fldChar w:fldCharType="end"/>
    </w:r>
  </w:p>
  <w:p w14:paraId="52870011" w14:textId="77777777" w:rsidR="00E504C8" w:rsidRDefault="00E50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4"/>
  </w:num>
  <w:num w:numId="6">
    <w:abstractNumId w:val="12"/>
  </w:num>
  <w:num w:numId="7">
    <w:abstractNumId w:val="9"/>
  </w:num>
  <w:num w:numId="8">
    <w:abstractNumId w:val="10"/>
  </w:num>
  <w:num w:numId="9">
    <w:abstractNumId w:val="3"/>
  </w:num>
  <w:num w:numId="10">
    <w:abstractNumId w:val="13"/>
  </w:num>
  <w:num w:numId="11">
    <w:abstractNumId w:val="11"/>
  </w:num>
  <w:num w:numId="12">
    <w:abstractNumId w:val="2"/>
  </w:num>
  <w:num w:numId="13">
    <w:abstractNumId w:val="8"/>
  </w:num>
  <w:num w:numId="14">
    <w:abstractNumId w:val="4"/>
  </w:num>
  <w:num w:numId="15">
    <w:abstractNumId w:val="7"/>
  </w:num>
  <w:num w:numId="16">
    <w:abstractNumId w:val="5"/>
    <w:lvlOverride w:ilvl="0"/>
    <w:lvlOverride w:ilvl="1"/>
    <w:lvlOverride w:ilvl="2"/>
    <w:lvlOverride w:ilvl="3"/>
    <w:lvlOverride w:ilvl="4"/>
    <w:lvlOverride w:ilvl="5"/>
    <w:lvlOverride w:ilvl="6"/>
    <w:lvlOverride w:ilvl="7"/>
    <w:lvlOverride w:ilvl="8"/>
  </w:num>
  <w:num w:numId="17">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6CFC"/>
    <w:rsid w:val="000F281D"/>
    <w:rsid w:val="00103185"/>
    <w:rsid w:val="001269BC"/>
    <w:rsid w:val="00153528"/>
    <w:rsid w:val="001761B2"/>
    <w:rsid w:val="0017755D"/>
    <w:rsid w:val="00191FD0"/>
    <w:rsid w:val="00197A0C"/>
    <w:rsid w:val="001A08AA"/>
    <w:rsid w:val="001A3120"/>
    <w:rsid w:val="001A51E3"/>
    <w:rsid w:val="001B2F0C"/>
    <w:rsid w:val="001C28A5"/>
    <w:rsid w:val="001C3A35"/>
    <w:rsid w:val="001C53E5"/>
    <w:rsid w:val="001D47E9"/>
    <w:rsid w:val="001D78D7"/>
    <w:rsid w:val="001E14E2"/>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73F7"/>
    <w:rsid w:val="002C1ACE"/>
    <w:rsid w:val="002D4FF2"/>
    <w:rsid w:val="002E7C37"/>
    <w:rsid w:val="002F4093"/>
    <w:rsid w:val="003076EE"/>
    <w:rsid w:val="00342E32"/>
    <w:rsid w:val="003547E6"/>
    <w:rsid w:val="00367724"/>
    <w:rsid w:val="00373BEF"/>
    <w:rsid w:val="003855D7"/>
    <w:rsid w:val="003943E2"/>
    <w:rsid w:val="003D7224"/>
    <w:rsid w:val="003F0FF2"/>
    <w:rsid w:val="003F744E"/>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65EEE"/>
    <w:rsid w:val="00574154"/>
    <w:rsid w:val="005833B8"/>
    <w:rsid w:val="00583B03"/>
    <w:rsid w:val="005C0EDF"/>
    <w:rsid w:val="00622236"/>
    <w:rsid w:val="00633224"/>
    <w:rsid w:val="00641F74"/>
    <w:rsid w:val="00642BEA"/>
    <w:rsid w:val="00645857"/>
    <w:rsid w:val="006657D5"/>
    <w:rsid w:val="0068057B"/>
    <w:rsid w:val="006856E5"/>
    <w:rsid w:val="006B0D02"/>
    <w:rsid w:val="006B4324"/>
    <w:rsid w:val="006D5666"/>
    <w:rsid w:val="007007D3"/>
    <w:rsid w:val="0070646B"/>
    <w:rsid w:val="007066FA"/>
    <w:rsid w:val="0070677D"/>
    <w:rsid w:val="00707941"/>
    <w:rsid w:val="00711F5E"/>
    <w:rsid w:val="0071287E"/>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A4960"/>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43095"/>
    <w:rsid w:val="00B4674E"/>
    <w:rsid w:val="00B759B5"/>
    <w:rsid w:val="00B8446C"/>
    <w:rsid w:val="00B96A86"/>
    <w:rsid w:val="00BC47D8"/>
    <w:rsid w:val="00BE54CB"/>
    <w:rsid w:val="00BF3E9A"/>
    <w:rsid w:val="00C14EAA"/>
    <w:rsid w:val="00C3068F"/>
    <w:rsid w:val="00C34B0C"/>
    <w:rsid w:val="00C43C6E"/>
    <w:rsid w:val="00C732D5"/>
    <w:rsid w:val="00C8596F"/>
    <w:rsid w:val="00C87896"/>
    <w:rsid w:val="00CB58F9"/>
    <w:rsid w:val="00CB602B"/>
    <w:rsid w:val="00CC2547"/>
    <w:rsid w:val="00CC3123"/>
    <w:rsid w:val="00CC4027"/>
    <w:rsid w:val="00CE1BE6"/>
    <w:rsid w:val="00CE627D"/>
    <w:rsid w:val="00CF7BED"/>
    <w:rsid w:val="00D115EA"/>
    <w:rsid w:val="00D14018"/>
    <w:rsid w:val="00D20536"/>
    <w:rsid w:val="00D24390"/>
    <w:rsid w:val="00D34E20"/>
    <w:rsid w:val="00D362DC"/>
    <w:rsid w:val="00D41BEE"/>
    <w:rsid w:val="00D520E4"/>
    <w:rsid w:val="00D57C2E"/>
    <w:rsid w:val="00D57DFA"/>
    <w:rsid w:val="00D73C0E"/>
    <w:rsid w:val="00D756B6"/>
    <w:rsid w:val="00D92FE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83"/>
    <w:rsid w:val="00F072D8"/>
    <w:rsid w:val="00F23857"/>
    <w:rsid w:val="00F25D2D"/>
    <w:rsid w:val="00F52553"/>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emf"/><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42</Pages>
  <Words>6873</Words>
  <Characters>39180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45962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2</cp:revision>
  <dcterms:created xsi:type="dcterms:W3CDTF">2019-09-30T18:57:00Z</dcterms:created>
  <dcterms:modified xsi:type="dcterms:W3CDTF">2019-09-30T18:57:00Z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